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F2" w:rsidRPr="004A1AF2" w:rsidRDefault="004A1AF2" w:rsidP="004A1AF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bookmarkStart w:id="0" w:name="information-bc2"/>
      <w:r w:rsidRPr="004A1AF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Информация об</w:t>
      </w:r>
      <w:r w:rsidR="00586792" w:rsidRPr="00F8105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установленном в </w:t>
      </w:r>
      <w:proofErr w:type="spellStart"/>
      <w:r w:rsidR="00586792" w:rsidRPr="00F8105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микрокредитной</w:t>
      </w:r>
      <w:proofErr w:type="spellEnd"/>
      <w:r w:rsidRPr="004A1AF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организации порядке разъяснения условий договоров и иных документов в отношении финансовой услуги, которую получатель финансовой </w:t>
      </w:r>
      <w:bookmarkStart w:id="1" w:name="_GoBack"/>
      <w:bookmarkEnd w:id="1"/>
      <w:r w:rsidRPr="004A1AF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услуги намерен получить, а также о лице, ответственном за предоставление соответствующих разъяснений</w:t>
      </w:r>
      <w:bookmarkEnd w:id="0"/>
    </w:p>
    <w:p w:rsidR="004A1AF2" w:rsidRPr="004A1AF2" w:rsidRDefault="004A1AF2" w:rsidP="005867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4A1AF2">
        <w:rPr>
          <w:rFonts w:ascii="Arial" w:eastAsia="Times New Roman" w:hAnsi="Arial" w:cs="Arial"/>
          <w:b/>
          <w:color w:val="4E4E4E"/>
          <w:sz w:val="24"/>
          <w:szCs w:val="24"/>
          <w:lang w:eastAsia="ru-RU"/>
        </w:rPr>
        <w:t>ВВЕДЕНИЕ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  <w:t>Настоящий Порядок разъяснения условий договоров и иных документов в отношении финансовой услуги, которую получатель финансовой услуги намерен получить, а также о лице, ответственном за предоставление соответствующих разъяснений (далее Порядок) – разработан в соответствии с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</w:t>
      </w:r>
      <w:r w:rsidR="0058679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ка, объединяющих </w:t>
      </w:r>
      <w:proofErr w:type="spellStart"/>
      <w:r w:rsidR="0058679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микрокредитной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организации, утвержденным Банком России от 22.06.2017 года.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  <w:t>ОБЩИЕ ПОЛОЖЕНИЯ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  <w:t>В настоящем Порядке используются следующие т</w:t>
      </w:r>
      <w:r w:rsidR="0058679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ермины и понятия:</w:t>
      </w:r>
      <w:r w:rsidR="0058679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proofErr w:type="spellStart"/>
      <w:r w:rsidR="0058679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Микрокредитная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компания (далее - МКК) – юридическое лицо, зарегистрированное в форме общества с ограниченной ответственностью</w:t>
      </w:r>
      <w:r w:rsidR="0058679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, осуществляющее </w:t>
      </w:r>
      <w:proofErr w:type="spellStart"/>
      <w:r w:rsidR="0058679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микрокредитную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деятельность и внесенное в государственный реестр </w:t>
      </w:r>
      <w:proofErr w:type="spellStart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микрофинансовых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организаций в порядке, предусмотренном законом.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proofErr w:type="spellStart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Микрофинансовая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деятельность - деятельность юридического лица, имеющего статус МФО, а также иных юридических лиц, имеющих право на осуществление </w:t>
      </w:r>
      <w:proofErr w:type="spellStart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микрофинансовой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деятельности в соответствии с законодательством, по предоставлению </w:t>
      </w:r>
      <w:proofErr w:type="spellStart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микрозаймов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(микрофинансирование).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proofErr w:type="spellStart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Микрозайм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 - </w:t>
      </w:r>
      <w:proofErr w:type="spellStart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займ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, сумма которого не превышает сумму пятьсот тысяч рублей. </w:t>
      </w:r>
      <w:proofErr w:type="spellStart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Микрозаймы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выдаются исключительно в рублях и на основании договора </w:t>
      </w:r>
      <w:proofErr w:type="spellStart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микрозайма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  <w:t>Потребительский заем - денежные средства, предоставленные кредитором заемщику на основании договора займа.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  <w:t>Кредитор </w:t>
      </w:r>
      <w:r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– 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ООО</w:t>
      </w:r>
      <w:r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МКК «Норд капитал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» (ООО «МКК «ФМ»)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  <w:t xml:space="preserve">Заявитель - физическое лицо, намеревающееся получить потребительский </w:t>
      </w:r>
      <w:proofErr w:type="spellStart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займ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  <w:t xml:space="preserve">Заемщик - физическое лицо, оформляющее или оформившее потребительский </w:t>
      </w:r>
      <w:proofErr w:type="spellStart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займ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  <w:t xml:space="preserve">Заемщик (получатель финансовой услуги) - физическое лицо, имеющее одобренный </w:t>
      </w:r>
      <w:proofErr w:type="spellStart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займ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, либо заключившее Договор займа с Кредитором.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  <w:t>Ответственное лицо - сотрудник Кредитора, занимающий должность «Кредитный менеджер».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b/>
          <w:color w:val="4E4E4E"/>
          <w:sz w:val="24"/>
          <w:szCs w:val="24"/>
          <w:lang w:eastAsia="ru-RU"/>
        </w:rPr>
        <w:t>ГЛАВА 1. Порядок обращения за получением потребительского займа.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  <w:t xml:space="preserve">Кредитор предоставляет Заемщику процентный потребительский заем, основываясь на разработанных и утвержденных руководителем </w:t>
      </w:r>
      <w:proofErr w:type="spellStart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микрофинансовой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организации программ по займам, 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  <w:t>Концепция программ по займам — каждое новое обращение Заёмщика с целью получения займа, при условии своевременного погашения предыдущего займа, раскрывает новые возможности перед клиентом, которые исчисляются в трёх направлениях:</w:t>
      </w:r>
    </w:p>
    <w:p w:rsidR="004A1AF2" w:rsidRPr="004A1AF2" w:rsidRDefault="004A1AF2" w:rsidP="004A1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Увеличение суммы займа;</w:t>
      </w:r>
    </w:p>
    <w:p w:rsidR="004A1AF2" w:rsidRPr="004A1AF2" w:rsidRDefault="004A1AF2" w:rsidP="004A1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Увеличение срока займа;</w:t>
      </w:r>
    </w:p>
    <w:p w:rsidR="004A1AF2" w:rsidRPr="004A1AF2" w:rsidRDefault="004A1AF2" w:rsidP="004A1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Снижение ставки по </w:t>
      </w:r>
      <w:proofErr w:type="gramStart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займу.*</w:t>
      </w:r>
      <w:proofErr w:type="gramEnd"/>
    </w:p>
    <w:p w:rsidR="00812F78" w:rsidRDefault="004A1AF2" w:rsidP="00586792">
      <w:pPr>
        <w:jc w:val="center"/>
      </w:pP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lastRenderedPageBreak/>
        <w:t>*Снижение процентной ставки или увеличение суммы займа происходит после двух последовательных качественных пользованиях займами. Качественным пользованием займом считается тот случай, когда заем погашен своевременно, без штрафных санкций, и выплаты производились согласно рассчитанному в договоре графику платежей.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1.1. Первоначально Заявитель, имеющий намерение получить потребительский </w:t>
      </w:r>
      <w:proofErr w:type="spellStart"/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займ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, должен лично обратиться в один из подразделений Кредитора, либо по телефону горячей</w:t>
      </w:r>
      <w:r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 линии по номеру 8 800 234 70 51</w:t>
      </w:r>
      <w:r w:rsidR="0058679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, либо на сайт </w:t>
      </w:r>
      <w:proofErr w:type="spellStart"/>
      <w:r w:rsidR="0058679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микрокредитной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 орг</w:t>
      </w:r>
      <w:r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анизации </w:t>
      </w:r>
      <w:r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val="en-US" w:eastAsia="ru-RU"/>
        </w:rPr>
        <w:t>www</w:t>
      </w:r>
      <w:r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mu</w:t>
      </w:r>
      <w:r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val="en-US" w:eastAsia="ru-RU"/>
        </w:rPr>
        <w:t>rmandengi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Далее, ответственное лицо разъясняет потенциальному Клиенту подробные услови</w:t>
      </w:r>
      <w:r w:rsidR="0058679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я предоставления </w:t>
      </w:r>
      <w:proofErr w:type="spellStart"/>
      <w:r w:rsidR="0058679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микрокредитной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 организацией потребительского займа, как методом разъяснения в напечатанном виде в виде брошюры, так и устно.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Заявителю предоставляются общие и индивидуальные условия договора займа для ознакомления, информация о рисках, 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при использовании финансовой услуги, о правах получателя финансовой услуги при осуществлении процедуры взыскания просроченной задолженности; о способах и адресах для направления обращений получателями финансовых услуг, в том числе о возможности направления обращений в саморегулируемую организацию и в Банк России; о способах защиты прав получателя финансовой услуги, включая информацию о наличии возможности и способах досудебного урегулирования спора, а также информацию о возможном увеличении суммы расходов получателя финансовой услуги, по сравнению с ожидаемой суммой расходов, при несвоевременном исполнении обязательств по договору об оказании финансовой услуги и о применяемых к получателю финансовой услуги штрафных пеней за нарушение обязательств по договору об оказании финансовой услуги.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Также, Заявителю предоставляется следующая информация: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- соразмерность долговой нагрузки получателя финансовой услуги с его текущим финансовым положением;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- предполагаемые сроки и суммы поступления денежных средств для исполнения своих обязательств по договору об оказании финансовой услуги (периодичность выплаты заработной платы, получения иных доходов) согласовываются с получателем финансовой услуги для более корректного согласования графика платежей;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- получателю финансовой услуги разъясняется вероятность наступления обстоятельств непреодолимой силы и иных обстоятельств, которые могут привести к невозможности исполнения своих обязательств по договору об оказании финансовой услуги (в том числе, потеря работы, задержка получения заработной платы и иных видов доходов по не зависящим от получателя финансовой услуги причинам, состояние здоровья получателя финансовой услуги, которое способно негативно повлиять на трудоустройство и, соответственно, получение дохода). А также возможность и причины реструктуризации займа при наступлении вышеуказанных обстоятельств.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1.2. Во время встречи в офисе Кредитора Заявитель: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1.2.1. Предоставляет ответственному лицу Кредитора общегражданский паспорт. Отсутствие паспорта является основанием для безусловного отказа в предоставлении займа.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lastRenderedPageBreak/>
        <w:t>По требованию ответственного лица Кредитора представляет и иные документы.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1.2.2. Заполняет с помощью ответственного лица Кредитора Заявление на выдачу потребительского займа, при этом все сведения, внесенные в нее, должны быть корректными и соответствовать действительности.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1.2.3 Заявитель должен подписать заполненное Заявление на выдачу потребительского займа в подтверждение того, что все предоставленные им данные являются полными, точными и достоверными во всех отношениях, и получены Кредитором с согласия Заявителя.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1.3. Заявление на выдачу потребительского займа составляется и подписывается в одном экземпляре. Заполненное и подписанное ответственное лицо Кредитора передает на рассмотрение.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1.4. Подход Кредитора к Заявителю носит строго персонифицированный характер. В ходе встречи</w:t>
      </w:r>
      <w:r w:rsidR="0058679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 в подразделении </w:t>
      </w:r>
      <w:proofErr w:type="spellStart"/>
      <w:r w:rsidR="0058679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микрокредитной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 организации может быть осуществлено фотографирование Заявителя, а также произведено копирование (сканирование) предоставленных документов.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1.5. В ходе собеседования ответственное лицо Кредитора дает Заявителю разъяснения о порядке и условиях получения потребительского займа, порядок и условия обработки, хранения персональных данных Заявителя.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1.6. Экспертиза Заявления на выдачу потребительского займа и приложенных документов, как правило, проводится в срок не позднее 30 (тридцать) минут с момента поступления Заявления и полного комплекта документов.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1.7. Экспертиза Заявления на выдачу потребительского займа и приложенных документов включает юридическую экспертизу, осуществляемую службой безопасности Кредитора из открытых источников.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1.8. В случае подачи Заявления на выдачу потребительского займа и приложенных документов на получение </w:t>
      </w:r>
      <w:proofErr w:type="spellStart"/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микрозайма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, Заявитель также подписывает согласие на проверку информации о нем из открытых источников и запрос его кредитного отчета.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1.9. Решение о предоставлении </w:t>
      </w:r>
      <w:proofErr w:type="spellStart"/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микрозайма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 принимается в порядке, указанном в настоящем разделе, и включает в себя следующие этапы: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а) Собеседование с Заявителем;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б) Регистрация документов;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в) Экспертиза документов;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г) Проверка кредитной истории;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д) Принятие решения о выдаче или отказе в выдаче займа;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е) Уведомление Заявителя о принятом решении;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ж) Заключение договоров займа (</w:t>
      </w:r>
      <w:proofErr w:type="spellStart"/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микрозайма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) в случае положительного решения;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з) Выдача займа Заявителю.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1.10. Кредитор вправе отказать в выдаче займа. Отказ в выдаче займа доводится до потенциального Заемщика в течение 30 (тридцати) минут с момента принятия Кредитором соответствующего решения.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1.11. В предоставлении </w:t>
      </w:r>
      <w:proofErr w:type="spellStart"/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микрозайма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 должно быть отказано при наличии любого из следующих оснований: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- не представлен общегражданский паспорт;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- представлены недостоверные сведения и документы; получена информация, которая неблагоприятно влияет на деловую репутацию, добросовестность, платежеспособность заемщика.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Кредитор может отказать Заемщику в предоставлении займа, если в результате </w:t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lastRenderedPageBreak/>
        <w:t>анализа всей имеющейся у Кредитора информации о Заемщике, возникают подозрения, что целью установления таких отношений является осуществление операций с денежными средствами или иным имуществом в целях легализации (отмывания) доходов, полученных преступным путем, или финансирования терроризма.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1.12. Кредитор вправе принять решение о предоставлении займа при условии предоставления Кредитором обеспечения исполнения обязательств по договору займа.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В качестве обеспечения может применяться залог в виде автомобиля.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586792">
        <w:rPr>
          <w:rFonts w:ascii="Arial" w:eastAsia="Times New Roman" w:hAnsi="Arial" w:cs="Arial"/>
          <w:b/>
          <w:color w:val="4E4E4E"/>
          <w:sz w:val="24"/>
          <w:szCs w:val="24"/>
          <w:shd w:val="clear" w:color="auto" w:fill="FFFFFF"/>
          <w:lang w:eastAsia="ru-RU"/>
        </w:rPr>
        <w:t>ГЛАВА 2. Получение суммы займа.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2.1. В случае принятия положительного решения о предоставлении займа, Заемщику предоставляются индивидуальные условия договора займа, информация о рисках, 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при использовании финансовой услуги, о правах получателя финансовой услуги при осуществлении процедуры взыскания просроченной задолженности; о способах и адресах для направления обращений получателями финансовых услуг, в том числе о возможности направления обращений в саморегулируемую организацию и в Банк России; о способах защиты прав получателя финансовой услуги, включая информацию о наличии возможности и способах досудебного урегулирования спора.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Также Заемщику еще раз предоставляется информация о возможном увеличении суммы расходов получателя финансовой услуги, по сравнению с ожидаемой суммой расходов, при несвоевременном исполнении обязательств по договору об оказании финансовой услуги и о применяемых к получателю финансовой услуги штрафных пеней за нарушение обязательств по договору об оказании финансовой услуги.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2.2. Кредитор выдает указанную в Заявлении на выдачу потребительского займа, или согласованную службой безопасности сумму займа путем получения суммы займа Заемщиком наличными денежными средствами в валюте Российской Федерации. Передача денежных средств, как правило, осуществляется в срок не позднее 1 (одного) часа с момента подписания индивидуальных условий договора займа.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2.3. Договор займа составляется в двух экземплярах, также в двух экземплярах должен быть составлен График платежей (Приложение №1), который содержит данные о погашении по займу. Также подписываются Анкета клиента согласно 115-ФЗ, согласие субъекта персональных данных на обработку его пер</w:t>
      </w:r>
      <w:r w:rsidR="00F81055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сональных данных </w:t>
      </w:r>
      <w:proofErr w:type="spellStart"/>
      <w:r w:rsidR="00F81055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микрокредитной</w:t>
      </w:r>
      <w:proofErr w:type="spellEnd"/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 организацией, дополнительные соглашения о взаимодействии. Все документы подписываются двумя сторонами, после чего один экземпляр договора займа, Приложение №1 и подписанные дополнительные соглашения ответственное лицо передает Кредитору, а второй экземпляр договора займа и Приложение №1 передаются Заемщику.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2.4. По ходу подписания вышеуказанных документов, ответственное лицо Кредитора разъясняет основные положения Общих условий договора потребительского займа, основные положения индивидуальных условий потребительского займа, смысл подписания согласия на обработку персональных данных Заемщика, а также иных соглашений о взаимодействии с Заемщиком. При согласии Заемщика со всеми вышеперечисленными положениями </w:t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lastRenderedPageBreak/>
        <w:t>подписываемых документов, проставляется подпись.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F81055">
        <w:rPr>
          <w:rFonts w:ascii="Arial" w:eastAsia="Times New Roman" w:hAnsi="Arial" w:cs="Arial"/>
          <w:b/>
          <w:color w:val="4E4E4E"/>
          <w:sz w:val="24"/>
          <w:szCs w:val="24"/>
          <w:shd w:val="clear" w:color="auto" w:fill="FFFFFF"/>
          <w:lang w:eastAsia="ru-RU"/>
        </w:rPr>
        <w:t>ГЛАВА 3. Назначение лица, ответственного за предоставление соответствующих разъяснений</w:t>
      </w:r>
      <w:r w:rsidRPr="004A1AF2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4A1AF2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3.1. Ответственным лицом, за предоставление соответствующих разъяснений о Порядке предоставления займа, заключения договора, исполнения условий договора, и иных документов в отношении финансовой услуги, которую получатель финансовой услуги намерен получить – является сотрудник организации, занимающий должность «Кредитный менеджер».</w:t>
      </w:r>
    </w:p>
    <w:sectPr w:rsidR="0081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3A37"/>
    <w:multiLevelType w:val="multilevel"/>
    <w:tmpl w:val="2D04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F2"/>
    <w:rsid w:val="004A1AF2"/>
    <w:rsid w:val="00586792"/>
    <w:rsid w:val="00812F78"/>
    <w:rsid w:val="00F8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DF07"/>
  <w15:chartTrackingRefBased/>
  <w15:docId w15:val="{E6B15226-8B14-46EA-BAD8-1CFC3763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2017-10-25T14:02:00Z</dcterms:created>
  <dcterms:modified xsi:type="dcterms:W3CDTF">2017-10-25T14:30:00Z</dcterms:modified>
</cp:coreProperties>
</file>